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50ED" w14:textId="77777777" w:rsidR="000657DB" w:rsidRDefault="000657DB">
      <w:pPr>
        <w:jc w:val="center"/>
      </w:pPr>
    </w:p>
    <w:p w14:paraId="1B1A46FA" w14:textId="77777777" w:rsidR="000657DB" w:rsidRDefault="000657DB">
      <w:pPr>
        <w:jc w:val="center"/>
        <w:rPr>
          <w:rFonts w:ascii="Libre Franklin" w:hAnsi="Libre Franklin" w:cs="Calibri"/>
          <w:sz w:val="20"/>
          <w:szCs w:val="20"/>
        </w:rPr>
      </w:pPr>
    </w:p>
    <w:tbl>
      <w:tblPr>
        <w:tblW w:w="779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2405"/>
        <w:gridCol w:w="2982"/>
      </w:tblGrid>
      <w:tr w:rsidR="000657DB" w14:paraId="226E27C2" w14:textId="7777777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A51C" w14:textId="77777777" w:rsidR="000657DB" w:rsidRDefault="000657DB"/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F72A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Nome e Cognome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1F7DA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Funzione</w:t>
            </w:r>
          </w:p>
        </w:tc>
      </w:tr>
      <w:tr w:rsidR="000657DB" w14:paraId="122C815D" w14:textId="7777777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814D7" w14:textId="77777777" w:rsidR="000657DB" w:rsidRDefault="00352D6C"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Redazione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745E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Nicola De Lecce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0228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Privacy Officer</w:t>
            </w:r>
          </w:p>
        </w:tc>
      </w:tr>
      <w:tr w:rsidR="000657DB" w14:paraId="685D0E7E" w14:textId="7777777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B958A" w14:textId="77777777" w:rsidR="000657DB" w:rsidRDefault="00352D6C"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Verifica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B748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Fabiana Ciofi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316E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People Experience Director</w:t>
            </w:r>
          </w:p>
        </w:tc>
      </w:tr>
      <w:tr w:rsidR="000657DB" w14:paraId="413A3610" w14:textId="7777777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E731" w14:textId="77777777" w:rsidR="000657DB" w:rsidRDefault="00352D6C"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Approvazione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F2076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Stefano Cuoco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2AA7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CEO</w:t>
            </w:r>
          </w:p>
        </w:tc>
      </w:tr>
      <w:tr w:rsidR="000657DB" w14:paraId="47EE1BE1" w14:textId="77777777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E524" w14:textId="77777777" w:rsidR="000657DB" w:rsidRDefault="00352D6C"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Emissione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9469" w14:textId="77777777" w:rsidR="000657DB" w:rsidRDefault="00352D6C">
            <w:pPr>
              <w:jc w:val="center"/>
            </w:pPr>
            <w:r>
              <w:rPr>
                <w:rStyle w:val="Enfasigrassetto"/>
                <w:rFonts w:ascii="Libre Franklin" w:hAnsi="Libre Franklin" w:cs="Calibri"/>
                <w:color w:val="4C555D"/>
                <w:sz w:val="20"/>
                <w:szCs w:val="20"/>
              </w:rPr>
              <w:t>0</w:t>
            </w:r>
            <w:r>
              <w:rPr>
                <w:rStyle w:val="Enfasigrassetto"/>
                <w:rFonts w:ascii="Libre Franklin" w:hAnsi="Libre Franklin"/>
                <w:color w:val="4C555D"/>
                <w:sz w:val="20"/>
                <w:szCs w:val="20"/>
              </w:rPr>
              <w:t>8.11.2024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3D35" w14:textId="77777777" w:rsidR="000657DB" w:rsidRDefault="000657DB">
            <w:pPr>
              <w:jc w:val="center"/>
            </w:pPr>
          </w:p>
        </w:tc>
      </w:tr>
    </w:tbl>
    <w:p w14:paraId="14B069DF" w14:textId="77777777" w:rsidR="000657DB" w:rsidRDefault="000657DB">
      <w:pPr>
        <w:pStyle w:val="Titolosommario"/>
        <w:outlineLvl w:val="9"/>
        <w:rPr>
          <w:rFonts w:ascii="Libre Franklin" w:hAnsi="Libre Franklin"/>
          <w:sz w:val="20"/>
          <w:szCs w:val="20"/>
        </w:rPr>
      </w:pPr>
    </w:p>
    <w:p w14:paraId="4EDA4F67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2824EF85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2C0597A3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6D970547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55B2766B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3A75CA00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53D347C0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6B748436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7001084C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72A82F09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39216DF9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5284AD1E" w14:textId="77777777" w:rsidR="000657DB" w:rsidRDefault="000657DB">
      <w:pPr>
        <w:jc w:val="center"/>
        <w:rPr>
          <w:rFonts w:ascii="Libre Franklin" w:hAnsi="Libre Franklin"/>
          <w:sz w:val="20"/>
          <w:szCs w:val="20"/>
          <w:lang w:eastAsia="it-IT"/>
        </w:rPr>
      </w:pPr>
    </w:p>
    <w:p w14:paraId="46F23290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548A8FE9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62BFB010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6ED24E85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151B360F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4FF5AD19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1EFE7525" w14:textId="77777777" w:rsidR="000657DB" w:rsidRDefault="000657DB">
      <w:pPr>
        <w:rPr>
          <w:rFonts w:ascii="Libre Franklin" w:hAnsi="Libre Franklin"/>
          <w:sz w:val="20"/>
          <w:szCs w:val="20"/>
          <w:lang w:eastAsia="it-IT"/>
        </w:rPr>
      </w:pPr>
    </w:p>
    <w:p w14:paraId="22E0D6D9" w14:textId="77777777" w:rsidR="000657DB" w:rsidRDefault="00352D6C">
      <w:pPr>
        <w:pStyle w:val="Titolosommario"/>
        <w:outlineLvl w:val="9"/>
      </w:pPr>
      <w:r>
        <w:rPr>
          <w:rFonts w:ascii="Portrait Regular" w:hAnsi="Portrait Regular"/>
          <w:sz w:val="20"/>
          <w:szCs w:val="20"/>
        </w:rPr>
        <w:lastRenderedPageBreak/>
        <w:t>Sommario</w:t>
      </w:r>
    </w:p>
    <w:p w14:paraId="269F0479" w14:textId="77777777" w:rsidR="000657DB" w:rsidRDefault="00352D6C">
      <w:pPr>
        <w:pStyle w:val="Sommario1"/>
        <w:tabs>
          <w:tab w:val="right" w:leader="dot" w:pos="660"/>
        </w:tabs>
      </w:pPr>
      <w:r>
        <w:rPr>
          <w:rFonts w:ascii="Calibri Light" w:eastAsia="Yu Gothic Light" w:hAnsi="Calibri Light" w:cs="Times New Roman"/>
          <w:color w:val="2F5496"/>
          <w:sz w:val="32"/>
          <w:szCs w:val="32"/>
          <w:lang w:eastAsia="it-IT"/>
        </w:rPr>
        <w:fldChar w:fldCharType="begin"/>
      </w:r>
      <w:r>
        <w:instrText xml:space="preserve"> TOC \o "1-3" \u \h </w:instrText>
      </w:r>
      <w:r>
        <w:rPr>
          <w:rFonts w:ascii="Calibri Light" w:eastAsia="Yu Gothic Light" w:hAnsi="Calibri Light" w:cs="Times New Roman"/>
          <w:color w:val="2F5496"/>
          <w:sz w:val="32"/>
          <w:szCs w:val="32"/>
          <w:lang w:eastAsia="it-IT"/>
        </w:rPr>
        <w:fldChar w:fldCharType="separate"/>
      </w:r>
      <w:hyperlink w:anchor="_Toc202966798" w:history="1">
        <w:r w:rsidR="000657DB">
          <w:rPr>
            <w:rStyle w:val="Collegamentoipertestuale"/>
            <w:rFonts w:eastAsia="Calibri"/>
            <w:lang w:val="en-GB"/>
          </w:rPr>
          <w:t>WHISTLEBLOWING POLICY</w:t>
        </w:r>
        <w:r w:rsidR="000657DB">
          <w:tab/>
          <w:t>2</w:t>
        </w:r>
      </w:hyperlink>
    </w:p>
    <w:p w14:paraId="3D7B4DEE" w14:textId="77777777" w:rsidR="000657DB" w:rsidRDefault="000657DB">
      <w:pPr>
        <w:pStyle w:val="Sommario1"/>
        <w:tabs>
          <w:tab w:val="right" w:leader="dot" w:pos="660"/>
        </w:tabs>
      </w:pPr>
      <w:hyperlink w:anchor="_Toc202966799" w:history="1">
        <w:r>
          <w:rPr>
            <w:rStyle w:val="Collegamentoipertestuale"/>
            <w:rFonts w:eastAsia="Calibri"/>
            <w:lang w:val="en-GB"/>
          </w:rPr>
          <w:t>INTRODUCTION AND LEGAL REFERENCES</w:t>
        </w:r>
        <w:r>
          <w:tab/>
          <w:t>2</w:t>
        </w:r>
      </w:hyperlink>
    </w:p>
    <w:p w14:paraId="3E69713D" w14:textId="77777777" w:rsidR="000657DB" w:rsidRDefault="000657DB">
      <w:pPr>
        <w:pStyle w:val="Sommario1"/>
        <w:tabs>
          <w:tab w:val="right" w:leader="dot" w:pos="660"/>
        </w:tabs>
      </w:pPr>
      <w:hyperlink w:anchor="_Toc202966800" w:history="1">
        <w:r>
          <w:rPr>
            <w:rStyle w:val="Collegamentoipertestuale"/>
            <w:rFonts w:eastAsia="Calibri"/>
            <w:lang w:val="en-GB"/>
          </w:rPr>
          <w:t>1. APPLICABLE LEGISLATION</w:t>
        </w:r>
        <w:r>
          <w:tab/>
          <w:t>2</w:t>
        </w:r>
      </w:hyperlink>
    </w:p>
    <w:p w14:paraId="6E29F977" w14:textId="77777777" w:rsidR="000657DB" w:rsidRDefault="000657DB">
      <w:pPr>
        <w:pStyle w:val="Sommario1"/>
        <w:tabs>
          <w:tab w:val="right" w:leader="dot" w:pos="660"/>
        </w:tabs>
      </w:pPr>
      <w:hyperlink w:anchor="_Toc202966801" w:history="1">
        <w:r>
          <w:rPr>
            <w:rStyle w:val="Collegamentoipertestuale"/>
            <w:rFonts w:eastAsia="Calibri"/>
            <w:lang w:val="en-GB"/>
          </w:rPr>
          <w:t>2. PURPOSE OF THE DOCUMENT</w:t>
        </w:r>
        <w:r>
          <w:tab/>
          <w:t>3</w:t>
        </w:r>
      </w:hyperlink>
    </w:p>
    <w:p w14:paraId="5B542EEF" w14:textId="77777777" w:rsidR="000657DB" w:rsidRDefault="000657DB">
      <w:pPr>
        <w:pStyle w:val="Sommario1"/>
        <w:tabs>
          <w:tab w:val="right" w:leader="dot" w:pos="660"/>
        </w:tabs>
      </w:pPr>
      <w:hyperlink w:anchor="_Toc202966802" w:history="1">
        <w:r>
          <w:rPr>
            <w:rStyle w:val="Collegamentoipertestuale"/>
            <w:rFonts w:eastAsia="Calibri"/>
            <w:lang w:val="en-GB"/>
          </w:rPr>
          <w:t>3. SCOPE OF APPLICATION</w:t>
        </w:r>
        <w:r>
          <w:tab/>
          <w:t>3</w:t>
        </w:r>
      </w:hyperlink>
    </w:p>
    <w:p w14:paraId="47996575" w14:textId="77777777" w:rsidR="000657DB" w:rsidRDefault="000657DB">
      <w:pPr>
        <w:pStyle w:val="Sommario1"/>
        <w:tabs>
          <w:tab w:val="right" w:leader="dot" w:pos="660"/>
        </w:tabs>
      </w:pPr>
      <w:hyperlink w:anchor="_Toc202966803" w:history="1">
        <w:r>
          <w:rPr>
            <w:rStyle w:val="Collegamentoipertestuale"/>
            <w:rFonts w:eastAsia="Calibri"/>
            <w:lang w:val="en-GB"/>
          </w:rPr>
          <w:t>3.2 What types of violations can be reported?</w:t>
        </w:r>
        <w:r>
          <w:tab/>
          <w:t>3</w:t>
        </w:r>
      </w:hyperlink>
    </w:p>
    <w:p w14:paraId="62D62327" w14:textId="77777777" w:rsidR="000657DB" w:rsidRDefault="000657DB">
      <w:pPr>
        <w:pStyle w:val="Sommario1"/>
        <w:tabs>
          <w:tab w:val="right" w:leader="dot" w:pos="660"/>
        </w:tabs>
      </w:pPr>
      <w:hyperlink w:anchor="_Toc202966804" w:history="1">
        <w:r>
          <w:rPr>
            <w:rStyle w:val="Collegamentoipertestuale"/>
            <w:rFonts w:eastAsia="Calibri"/>
            <w:lang w:val="en-GB"/>
          </w:rPr>
          <w:t>4. INTERNAL REPORTING CHANNELS</w:t>
        </w:r>
        <w:r>
          <w:tab/>
          <w:t>4</w:t>
        </w:r>
      </w:hyperlink>
    </w:p>
    <w:p w14:paraId="4C0F6D5A" w14:textId="77777777" w:rsidR="000657DB" w:rsidRDefault="000657DB">
      <w:pPr>
        <w:pStyle w:val="Sommario1"/>
        <w:tabs>
          <w:tab w:val="right" w:leader="dot" w:pos="660"/>
        </w:tabs>
      </w:pPr>
      <w:hyperlink w:anchor="_Toc202966805" w:history="1">
        <w:r>
          <w:rPr>
            <w:rStyle w:val="Collegamentoipertestuale"/>
            <w:rFonts w:eastAsia="Calibri"/>
            <w:lang w:val="en-GB"/>
          </w:rPr>
          <w:t>5. MANAGEMENT OF REPORTS</w:t>
        </w:r>
        <w:r>
          <w:tab/>
          <w:t>4</w:t>
        </w:r>
      </w:hyperlink>
    </w:p>
    <w:p w14:paraId="06E2FBE7" w14:textId="77777777" w:rsidR="000657DB" w:rsidRDefault="000657DB">
      <w:pPr>
        <w:pStyle w:val="Sommario1"/>
        <w:tabs>
          <w:tab w:val="right" w:leader="dot" w:pos="660"/>
        </w:tabs>
      </w:pPr>
      <w:hyperlink w:anchor="_Toc202966806" w:history="1">
        <w:r>
          <w:rPr>
            <w:rStyle w:val="Collegamentoipertestuale"/>
            <w:rFonts w:eastAsia="Calibri"/>
            <w:lang w:val="en-GB"/>
          </w:rPr>
          <w:t>6. PRINCIPLES AND PROTECTIONS FOR THE WHISTLEBLOWER</w:t>
        </w:r>
        <w:r>
          <w:tab/>
          <w:t>5</w:t>
        </w:r>
      </w:hyperlink>
    </w:p>
    <w:p w14:paraId="4CE6771A" w14:textId="77777777" w:rsidR="000657DB" w:rsidRDefault="000657DB">
      <w:pPr>
        <w:pStyle w:val="Sommario1"/>
        <w:tabs>
          <w:tab w:val="right" w:leader="dot" w:pos="660"/>
        </w:tabs>
      </w:pPr>
      <w:hyperlink w:anchor="_Toc202966807" w:history="1">
        <w:r>
          <w:rPr>
            <w:rStyle w:val="Collegamentoipertestuale"/>
            <w:rFonts w:eastAsia="Calibri"/>
            <w:lang w:val="en-GB"/>
          </w:rPr>
          <w:t>7. DISCIPLINARY CONSEQUENCES</w:t>
        </w:r>
        <w:r>
          <w:tab/>
          <w:t>5</w:t>
        </w:r>
      </w:hyperlink>
    </w:p>
    <w:p w14:paraId="40740466" w14:textId="77777777" w:rsidR="000657DB" w:rsidRDefault="000657DB">
      <w:pPr>
        <w:pStyle w:val="Sommario1"/>
        <w:tabs>
          <w:tab w:val="right" w:leader="dot" w:pos="660"/>
        </w:tabs>
      </w:pPr>
      <w:hyperlink w:anchor="_Toc202966808" w:history="1">
        <w:r>
          <w:rPr>
            <w:rStyle w:val="Collegamentoipertestuale"/>
            <w:rFonts w:eastAsia="Calibri"/>
            <w:lang w:val="en-GB"/>
          </w:rPr>
          <w:t>8. PERSONAL DATA PROCESSING</w:t>
        </w:r>
        <w:r>
          <w:tab/>
          <w:t>5</w:t>
        </w:r>
      </w:hyperlink>
    </w:p>
    <w:p w14:paraId="3DD9A2BC" w14:textId="77777777" w:rsidR="000657DB" w:rsidRDefault="000657DB">
      <w:pPr>
        <w:pStyle w:val="Sommario1"/>
        <w:tabs>
          <w:tab w:val="right" w:leader="dot" w:pos="660"/>
        </w:tabs>
      </w:pPr>
      <w:hyperlink w:anchor="_Toc202966809" w:history="1">
        <w:r>
          <w:rPr>
            <w:rStyle w:val="Collegamentoipertestuale"/>
            <w:rFonts w:eastAsia="Calibri"/>
            <w:lang w:val="en-GB"/>
          </w:rPr>
          <w:t>9. EXTERNAL REPORTING CHANNELS</w:t>
        </w:r>
        <w:r>
          <w:tab/>
          <w:t>6</w:t>
        </w:r>
      </w:hyperlink>
    </w:p>
    <w:p w14:paraId="6144CC6E" w14:textId="77777777" w:rsidR="000657DB" w:rsidRDefault="00352D6C">
      <w:r>
        <w:fldChar w:fldCharType="end"/>
      </w:r>
    </w:p>
    <w:p w14:paraId="27637267" w14:textId="77777777" w:rsidR="000657DB" w:rsidRDefault="000657DB">
      <w:pPr>
        <w:spacing w:after="160" w:line="254" w:lineRule="auto"/>
        <w:rPr>
          <w:rFonts w:ascii="Libre Franklin" w:hAnsi="Libre Franklin"/>
          <w:b/>
          <w:bCs/>
          <w:w w:val="119"/>
          <w:sz w:val="20"/>
          <w:szCs w:val="20"/>
        </w:rPr>
      </w:pPr>
    </w:p>
    <w:p w14:paraId="2D28961D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09138EF6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4E601E3A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58746D03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0586F30C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2526B681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59342D9B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41C67CBC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76AC0193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3FC556F8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10A63799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53AF9158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1167AF9E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51C90149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274332E6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5804722D" w14:textId="77777777" w:rsidR="000657DB" w:rsidRDefault="000657DB">
      <w:pPr>
        <w:jc w:val="center"/>
        <w:rPr>
          <w:rFonts w:ascii="Libre Franklin" w:hAnsi="Libre Franklin"/>
          <w:b/>
          <w:bCs/>
          <w:sz w:val="20"/>
          <w:szCs w:val="20"/>
        </w:rPr>
      </w:pPr>
    </w:p>
    <w:p w14:paraId="3D9D1345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POLICY DI WHISTLEBLOWING</w:t>
      </w:r>
    </w:p>
    <w:p w14:paraId="4DF91F9F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INTRODUZIONE E RIFERIMENTI LEGALI</w:t>
      </w:r>
    </w:p>
    <w:p w14:paraId="693F03A1" w14:textId="716C98C0" w:rsidR="000657DB" w:rsidRDefault="00352D6C">
      <w:r>
        <w:rPr>
          <w:rFonts w:ascii="Libre Franklin" w:eastAsia="Calibri" w:hAnsi="Libre Franklin" w:cs="Times New Roman"/>
          <w:b/>
          <w:bCs/>
          <w:sz w:val="19"/>
          <w:szCs w:val="19"/>
        </w:rPr>
        <w:t>Revisione n. 0</w:t>
      </w:r>
      <w:r w:rsidR="00C04B26">
        <w:rPr>
          <w:rFonts w:ascii="Libre Franklin" w:eastAsia="Calibri" w:hAnsi="Libre Franklin" w:cs="Times New Roman"/>
          <w:b/>
          <w:bCs/>
          <w:sz w:val="19"/>
          <w:szCs w:val="19"/>
        </w:rPr>
        <w:t>2</w:t>
      </w:r>
      <w:r>
        <w:rPr>
          <w:rFonts w:ascii="Libre Franklin" w:eastAsia="Calibri" w:hAnsi="Libre Franklin" w:cs="Times New Roman"/>
          <w:b/>
          <w:bCs/>
          <w:sz w:val="19"/>
          <w:szCs w:val="19"/>
        </w:rPr>
        <w:t xml:space="preserve"> -</w:t>
      </w:r>
      <w:r w:rsidR="00C04B26">
        <w:rPr>
          <w:rFonts w:ascii="Libre Franklin" w:eastAsia="Calibri" w:hAnsi="Libre Franklin" w:cs="Times New Roman"/>
          <w:b/>
          <w:bCs/>
          <w:sz w:val="19"/>
          <w:szCs w:val="19"/>
          <w:vertAlign w:val="superscript"/>
        </w:rPr>
        <w:t xml:space="preserve"> </w:t>
      </w:r>
      <w:r w:rsidR="00C04B26">
        <w:rPr>
          <w:rFonts w:ascii="Libre Franklin" w:eastAsia="Calibri" w:hAnsi="Libre Franklin" w:cs="Times New Roman"/>
          <w:b/>
          <w:bCs/>
          <w:sz w:val="19"/>
          <w:szCs w:val="19"/>
        </w:rPr>
        <w:t>30</w:t>
      </w:r>
      <w:r>
        <w:rPr>
          <w:rFonts w:ascii="Libre Franklin" w:eastAsia="Calibri" w:hAnsi="Libre Franklin" w:cs="Times New Roman"/>
          <w:b/>
          <w:bCs/>
          <w:sz w:val="19"/>
          <w:szCs w:val="19"/>
        </w:rPr>
        <w:t> </w:t>
      </w:r>
      <w:r w:rsidR="00C04B26">
        <w:rPr>
          <w:rFonts w:ascii="Libre Franklin" w:eastAsia="Calibri" w:hAnsi="Libre Franklin" w:cs="Times New Roman"/>
          <w:b/>
          <w:bCs/>
          <w:sz w:val="19"/>
          <w:szCs w:val="19"/>
        </w:rPr>
        <w:t>ottobre</w:t>
      </w:r>
      <w:r>
        <w:rPr>
          <w:rFonts w:ascii="Libre Franklin" w:eastAsia="Calibri" w:hAnsi="Libre Franklin" w:cs="Times New Roman"/>
          <w:b/>
          <w:bCs/>
          <w:sz w:val="19"/>
          <w:szCs w:val="19"/>
        </w:rPr>
        <w:t xml:space="preserve"> 202</w:t>
      </w:r>
      <w:r w:rsidR="00C04B26">
        <w:rPr>
          <w:rFonts w:ascii="Libre Franklin" w:eastAsia="Calibri" w:hAnsi="Libre Franklin" w:cs="Times New Roman"/>
          <w:b/>
          <w:bCs/>
          <w:sz w:val="19"/>
          <w:szCs w:val="19"/>
        </w:rPr>
        <w:t>5</w:t>
      </w:r>
    </w:p>
    <w:p w14:paraId="317B34C5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1. NORMATIVA DI RIFERIMENTO</w:t>
      </w:r>
    </w:p>
    <w:p w14:paraId="5EA4380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Il Decreto Legislativo n. 24/2023, in attuazione della Direttiva UE 2019/1937, stabilisce le regole per la tutela delle persone che segnalano violazioni (il cosiddetto "whistleblowing"). Il presente documento illustra le procedure per la segnalazione di violazioni e le tutele per i whistleblower.</w:t>
      </w:r>
    </w:p>
    <w:p w14:paraId="5D05D21C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Altri riferimenti normativi  </w:t>
      </w:r>
    </w:p>
    <w:p w14:paraId="435A622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Il Regolamento UE 2016/679 (GDPR) e Il Codice Privacy (Decreto Legislativo 196/2003 e 101/2018), che disciplinano il trattamento dei dati personali.</w:t>
      </w:r>
    </w:p>
    <w:p w14:paraId="7D742DCF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2. SCOPO DEL DOCUMENTO</w:t>
      </w:r>
    </w:p>
    <w:p w14:paraId="6D0E4E8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Questa procedura descrive come ERQOLE HOSPITALITY S.r.L. gestisce le segnalazioni di violazioni. Il documento fornisce informazioni sui canali per fare segnalazioni interne ed esterne e su come fare una denuncia all'Autorità giudiziaria o altre autorità competenti.</w:t>
      </w:r>
    </w:p>
    <w:p w14:paraId="58E70295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3. AMBITO DI APPLICAZIONE</w:t>
      </w:r>
    </w:p>
    <w:p w14:paraId="315AE5DF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3.1 Chi può segnalare? (Whistleblowers)</w:t>
      </w:r>
    </w:p>
    <w:p w14:paraId="07316A6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Possono fare segnalazioni:</w:t>
      </w:r>
    </w:p>
    <w:p w14:paraId="0DCB31A8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Dipendenti (a tempo indeterminato, determinato, part-time, full-time, etc.).</w:t>
      </w:r>
    </w:p>
    <w:p w14:paraId="473CBDC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Lavoratori autonomi e collaboratori.</w:t>
      </w:r>
    </w:p>
    <w:p w14:paraId="0048E9D7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Tirocinanti, stagisti e volontari.</w:t>
      </w:r>
    </w:p>
    <w:p w14:paraId="083F8439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Direttori, amministratori, azionisti e altre persone con funzioni aziendali.</w:t>
      </w:r>
    </w:p>
    <w:p w14:paraId="07C02B25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Fornitori, liberi professionisti e consulenti che collaborano con la Società.</w:t>
      </w:r>
    </w:p>
    <w:p w14:paraId="7243E147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Anche chi sta avviando una collaborazione con la Società (ad esempio durante il periodo di selezione) può fare una segnalazione o dopo lo scioglimento del rapporto, se le informazioni sulle violazioni sono state acquisite nel corso del rapporto.</w:t>
      </w:r>
    </w:p>
    <w:p w14:paraId="3126503E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3.2 Che tipo di violazioni si possono segnalare?</w:t>
      </w:r>
    </w:p>
    <w:p w14:paraId="47921446" w14:textId="77777777" w:rsidR="000657DB" w:rsidRDefault="00352D6C">
      <w:pPr>
        <w:pStyle w:val="Paragrafoelenco"/>
        <w:numPr>
          <w:ilvl w:val="2"/>
          <w:numId w:val="1"/>
        </w:numPr>
        <w:suppressAutoHyphens w:val="0"/>
        <w:spacing w:after="0" w:line="240" w:lineRule="auto"/>
        <w:ind w:left="720"/>
        <w:textAlignment w:val="auto"/>
      </w:pPr>
      <w:r>
        <w:t>Sono oggetto della presente Procedura, con applicazione delle tutele previste dal D.Lgs. 24/2023, le “violazioni” conosciute nel contesto lavorativo che rientrano in una o più delle seguenti categorie:</w:t>
      </w:r>
    </w:p>
    <w:p w14:paraId="4A209679" w14:textId="77777777" w:rsidR="000657DB" w:rsidRDefault="00352D6C">
      <w:pPr>
        <w:pStyle w:val="Paragrafoelenco"/>
        <w:numPr>
          <w:ilvl w:val="3"/>
          <w:numId w:val="1"/>
        </w:numPr>
        <w:suppressAutoHyphens w:val="0"/>
        <w:spacing w:after="0" w:line="240" w:lineRule="auto"/>
        <w:ind w:left="1080"/>
        <w:textAlignment w:val="auto"/>
      </w:pPr>
      <w:r>
        <w:t xml:space="preserve">a) illeciti, atti od omissioni che ledono l’interesse pubblico o l’integrità dell’ente e rientrano nell’ambito di applicazione di disposizioni dell’Unione europea o nazionali nei settori: appalti; servizi, prodotti e mercati finanziari e prevenzione del riciclaggio e del finanziamento del terrorismo; sicurezza dei prodotti e dei trasporti; tutela dell’ambiente; radioprotezione e sicurezza </w:t>
      </w:r>
      <w:r>
        <w:lastRenderedPageBreak/>
        <w:t>nucleare; sicurezza degli alimenti, dei mangimi, salute e benessere degli animali; salute pubblica; tutela dei consumatori; tutela della vita privata e protezione dei dati personali; sicurezza delle reti e dei sistemi informativi.</w:t>
      </w:r>
    </w:p>
    <w:p w14:paraId="5F398003" w14:textId="77777777" w:rsidR="000657DB" w:rsidRDefault="00352D6C">
      <w:pPr>
        <w:pStyle w:val="Paragrafoelenco"/>
        <w:numPr>
          <w:ilvl w:val="3"/>
          <w:numId w:val="1"/>
        </w:numPr>
        <w:suppressAutoHyphens w:val="0"/>
        <w:spacing w:after="0" w:line="240" w:lineRule="auto"/>
        <w:ind w:left="1080"/>
        <w:textAlignment w:val="auto"/>
      </w:pPr>
      <w:r>
        <w:t>b) atti od omissioni che ledono gli interessi finanziari dell’Unione europea.</w:t>
      </w:r>
    </w:p>
    <w:p w14:paraId="3BF0EE0C" w14:textId="77777777" w:rsidR="000657DB" w:rsidRDefault="00352D6C">
      <w:pPr>
        <w:pStyle w:val="Paragrafoelenco"/>
        <w:numPr>
          <w:ilvl w:val="3"/>
          <w:numId w:val="1"/>
        </w:numPr>
        <w:suppressAutoHyphens w:val="0"/>
        <w:spacing w:after="0" w:line="240" w:lineRule="auto"/>
        <w:ind w:left="1080"/>
        <w:textAlignment w:val="auto"/>
      </w:pPr>
      <w:r>
        <w:t>c) atti od omissioni riguardanti il mercato interno, comprese le violazioni delle norme in materia di concorrenza e aiuti di Stato e in materia fiscale societaria, nonché atti o comportamenti che vanificano l’oggetto o la finalità delle disposizioni UE nei settori sopra indicati.</w:t>
      </w:r>
    </w:p>
    <w:p w14:paraId="24E91EF9" w14:textId="77777777" w:rsidR="000657DB" w:rsidRDefault="00352D6C">
      <w:pPr>
        <w:pStyle w:val="Paragrafoelenco"/>
        <w:numPr>
          <w:ilvl w:val="3"/>
          <w:numId w:val="1"/>
        </w:numPr>
        <w:suppressAutoHyphens w:val="0"/>
        <w:spacing w:after="0" w:line="240" w:lineRule="auto"/>
        <w:ind w:left="1080"/>
        <w:textAlignment w:val="auto"/>
      </w:pPr>
      <w:r>
        <w:t>d) per gli enti che hanno adottato un Modello di organizzazione, gestione e controllo ai sensi del D.Lgs. 231/2001: condotte illecite rilevanti ai sensi del D.Lgs. 231/2001 o violazioni del Modello 231 e dei relativi protocolli.</w:t>
      </w:r>
    </w:p>
    <w:p w14:paraId="1E55FD6B" w14:textId="77777777" w:rsidR="000657DB" w:rsidRDefault="00352D6C">
      <w:pPr>
        <w:pStyle w:val="Paragrafoelenco"/>
        <w:numPr>
          <w:ilvl w:val="2"/>
          <w:numId w:val="1"/>
        </w:numPr>
        <w:suppressAutoHyphens w:val="0"/>
        <w:spacing w:after="0" w:line="240" w:lineRule="auto"/>
        <w:ind w:left="720"/>
        <w:textAlignment w:val="auto"/>
      </w:pPr>
      <w:r>
        <w:t>Sono segnalabili anche violazioni non ancora commesse, ma che il Segnalante ritiene possano essere commesse sulla base di fondati e circostanziati sospetti.</w:t>
      </w:r>
    </w:p>
    <w:p w14:paraId="63E7A5DF" w14:textId="77777777" w:rsidR="000657DB" w:rsidRDefault="00352D6C">
      <w:pPr>
        <w:pStyle w:val="Paragrafoelenco"/>
        <w:numPr>
          <w:ilvl w:val="2"/>
          <w:numId w:val="1"/>
        </w:numPr>
        <w:suppressAutoHyphens w:val="0"/>
        <w:spacing w:after="0" w:line="240" w:lineRule="auto"/>
        <w:ind w:left="720"/>
        <w:textAlignment w:val="auto"/>
      </w:pPr>
      <w:r>
        <w:t>Le segnalazioni che non rientrano nelle categorie sopra elencate potranno essere gestite dai canali HR aziendali dedicati, fermo restando che, ove la notizia integri una “violazione” ai sensi del D.Lgs. 24/2023, si applicheranno le tutele whistleblowing.</w:t>
      </w:r>
    </w:p>
    <w:p w14:paraId="7E019D6E" w14:textId="77777777" w:rsidR="00DB61BD" w:rsidRDefault="00DB61BD">
      <w:pPr>
        <w:rPr>
          <w:rFonts w:ascii="Libre Franklin" w:eastAsia="Calibri" w:hAnsi="Libre Franklin" w:cs="Times New Roman"/>
          <w:sz w:val="19"/>
          <w:szCs w:val="19"/>
          <w:shd w:val="clear" w:color="auto" w:fill="FFFF00"/>
        </w:rPr>
      </w:pPr>
    </w:p>
    <w:p w14:paraId="41FEFEF1" w14:textId="7BA84F51" w:rsidR="000657DB" w:rsidRDefault="00352D6C">
      <w:pPr>
        <w:pStyle w:val="Paragrafoelenco"/>
        <w:numPr>
          <w:ilvl w:val="1"/>
          <w:numId w:val="1"/>
        </w:numPr>
        <w:suppressAutoHyphens w:val="0"/>
        <w:spacing w:after="0" w:line="240" w:lineRule="auto"/>
        <w:ind w:left="360"/>
        <w:textAlignment w:val="auto"/>
      </w:pPr>
      <w:r>
        <w:t>Esclusioni:</w:t>
      </w:r>
    </w:p>
    <w:p w14:paraId="6E8738BE" w14:textId="77777777" w:rsidR="000657DB" w:rsidRDefault="00352D6C">
      <w:pPr>
        <w:pStyle w:val="Paragrafoelenco"/>
        <w:numPr>
          <w:ilvl w:val="2"/>
          <w:numId w:val="1"/>
        </w:numPr>
        <w:suppressAutoHyphens w:val="0"/>
        <w:spacing w:after="0" w:line="240" w:lineRule="auto"/>
        <w:ind w:left="720"/>
        <w:textAlignment w:val="auto"/>
      </w:pPr>
      <w:r>
        <w:t>Non costituiscono, di regola, “violazioni” ai sensi del D.Lgs. 24/2023:</w:t>
      </w:r>
    </w:p>
    <w:p w14:paraId="5498BF04" w14:textId="77777777" w:rsidR="000657DB" w:rsidRDefault="00352D6C">
      <w:pPr>
        <w:pStyle w:val="Paragrafoelenco"/>
        <w:numPr>
          <w:ilvl w:val="3"/>
          <w:numId w:val="1"/>
        </w:numPr>
        <w:suppressAutoHyphens w:val="0"/>
        <w:spacing w:after="0" w:line="240" w:lineRule="auto"/>
        <w:ind w:left="1080"/>
        <w:textAlignment w:val="auto"/>
      </w:pPr>
      <w:r>
        <w:t>controversie personali o giuslavoristiche che non presentano profili riconducibili alle materie indicate al par. 3.2;</w:t>
      </w:r>
    </w:p>
    <w:p w14:paraId="02E4EF2C" w14:textId="77777777" w:rsidR="000657DB" w:rsidRDefault="00352D6C">
      <w:pPr>
        <w:pStyle w:val="Paragrafoelenco"/>
        <w:numPr>
          <w:ilvl w:val="3"/>
          <w:numId w:val="1"/>
        </w:numPr>
        <w:suppressAutoHyphens w:val="0"/>
        <w:spacing w:after="0" w:line="240" w:lineRule="auto"/>
        <w:ind w:left="1080"/>
        <w:textAlignment w:val="auto"/>
      </w:pPr>
      <w:r>
        <w:t>mere voci di corridoio o informazioni non circostanziate e prive di fondamento.</w:t>
      </w:r>
    </w:p>
    <w:p w14:paraId="23B821FC" w14:textId="77777777" w:rsidR="000657DB" w:rsidRDefault="00352D6C">
      <w:pPr>
        <w:pStyle w:val="Paragrafoelenco"/>
        <w:numPr>
          <w:ilvl w:val="2"/>
          <w:numId w:val="1"/>
        </w:numPr>
        <w:suppressAutoHyphens w:val="0"/>
        <w:spacing w:after="0" w:line="240" w:lineRule="auto"/>
        <w:ind w:left="720"/>
        <w:textAlignment w:val="auto"/>
      </w:pPr>
      <w:r>
        <w:t>Segnalazioni relative a discriminazioni, molestie, mobbing, parità di genere o altre tematiche HR sono gestite dai canali HR/compliance dedicati, salvo che i fatti rientrino oggettivamente nel perimetro di cui al par. 3.2 (in tal caso trovano applicazione le tutele whistleblowing).</w:t>
      </w:r>
    </w:p>
    <w:p w14:paraId="69FC807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 xml:space="preserve"> </w:t>
      </w:r>
    </w:p>
    <w:p w14:paraId="16D91D6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3.3 Come fare una segnalazione?</w:t>
      </w:r>
    </w:p>
    <w:p w14:paraId="224935BC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La segnalazione deve essere chiara, circostanziata e contenere le seguenti informazioni:</w:t>
      </w:r>
    </w:p>
    <w:p w14:paraId="6D9F2DCF" w14:textId="77777777" w:rsidR="000657DB" w:rsidRDefault="00352D6C">
      <w:pPr>
        <w:numPr>
          <w:ilvl w:val="0"/>
          <w:numId w:val="2"/>
        </w:numPr>
        <w:spacing w:after="160" w:line="254" w:lineRule="auto"/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Descrizione dettagliata della violazione, con data, luogo e contesto.</w:t>
      </w:r>
    </w:p>
    <w:p w14:paraId="0EAD471A" w14:textId="77777777" w:rsidR="000657DB" w:rsidRDefault="00352D6C">
      <w:pPr>
        <w:numPr>
          <w:ilvl w:val="0"/>
          <w:numId w:val="2"/>
        </w:numPr>
        <w:spacing w:after="160" w:line="254" w:lineRule="auto"/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Chi ha compiuto l'atto illecito (incluso il ruolo o la posizione aziendale).</w:t>
      </w:r>
    </w:p>
    <w:p w14:paraId="288D6F50" w14:textId="77777777" w:rsidR="000657DB" w:rsidRDefault="00352D6C">
      <w:pPr>
        <w:numPr>
          <w:ilvl w:val="0"/>
          <w:numId w:val="2"/>
        </w:numPr>
        <w:spacing w:after="160" w:line="254" w:lineRule="auto"/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Altri dettagli che possano aiutare a capire meglio la violazione (come documenti, prove, ecc.).</w:t>
      </w:r>
    </w:p>
    <w:p w14:paraId="54F412BF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La segnalazione può essere anonima, ma deve comunque contenere informazioni sufficienti per poter essere trattata.</w:t>
      </w:r>
    </w:p>
    <w:p w14:paraId="32801C8D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Cosa non deve contenere una segnalazione:</w:t>
      </w:r>
    </w:p>
    <w:p w14:paraId="77D42E07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Insulti o attacchi personali. L’utilizzo di tali espressioni potrà essere sottoposto a cura del Gestore delle Segnalazioni alle funzioni aziendali competenti per le valutazioni del caso, comprese quelle disciplinari.</w:t>
      </w:r>
    </w:p>
    <w:p w14:paraId="21F6B67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Informazioni vaghe o senza fondamento.</w:t>
      </w:r>
    </w:p>
    <w:p w14:paraId="7AB21C0F" w14:textId="77777777" w:rsidR="00DB61BD" w:rsidRDefault="00DB61BD">
      <w:pPr>
        <w:rPr>
          <w:rFonts w:ascii="Libre Franklin" w:eastAsia="Calibri" w:hAnsi="Libre Franklin" w:cs="Times New Roman"/>
          <w:sz w:val="19"/>
          <w:szCs w:val="19"/>
        </w:rPr>
      </w:pPr>
    </w:p>
    <w:p w14:paraId="682C9558" w14:textId="77777777" w:rsidR="00DB61BD" w:rsidRDefault="00DB61BD">
      <w:pPr>
        <w:rPr>
          <w:rFonts w:ascii="Libre Franklin" w:eastAsia="Calibri" w:hAnsi="Libre Franklin" w:cs="Times New Roman"/>
          <w:sz w:val="19"/>
          <w:szCs w:val="19"/>
        </w:rPr>
      </w:pPr>
    </w:p>
    <w:p w14:paraId="3282E728" w14:textId="77777777" w:rsidR="00DB61BD" w:rsidRDefault="00DB61BD">
      <w:pPr>
        <w:rPr>
          <w:rFonts w:ascii="Libre Franklin" w:eastAsia="Calibri" w:hAnsi="Libre Franklin" w:cs="Times New Roman"/>
          <w:sz w:val="19"/>
          <w:szCs w:val="19"/>
        </w:rPr>
      </w:pPr>
    </w:p>
    <w:p w14:paraId="5F25B56C" w14:textId="77777777" w:rsidR="00DB61BD" w:rsidRDefault="00DB61BD">
      <w:pPr>
        <w:rPr>
          <w:rFonts w:ascii="Libre Franklin" w:eastAsia="Calibri" w:hAnsi="Libre Franklin" w:cs="Times New Roman"/>
          <w:sz w:val="19"/>
          <w:szCs w:val="19"/>
        </w:rPr>
      </w:pPr>
    </w:p>
    <w:p w14:paraId="10C28059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lastRenderedPageBreak/>
        <w:t>4. CANALI INTERNI PER LE SEGNALAZIONI</w:t>
      </w:r>
    </w:p>
    <w:p w14:paraId="10C281A5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 canali per inviare segnalazioni interne sono:</w:t>
      </w:r>
    </w:p>
    <w:p w14:paraId="10F449F9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1. Piattaforma online: tramite la piattaforma Valore 24 Whistleblowing. disponibile in modo continuo 24 ore su 24, 7 giorni su 7. L'accesso alla Piattaforma WB può avvenire direttamente tramite il seguente URL: https://www.miramis.com/</w:t>
      </w:r>
    </w:p>
    <w:p w14:paraId="06C67D53" w14:textId="77777777" w:rsidR="000657DB" w:rsidRDefault="00352D6C">
      <w:r>
        <w:rPr>
          <w:rFonts w:ascii="Libre Franklin" w:eastAsia="Calibri" w:hAnsi="Libre Franklin" w:cs="Times New Roman"/>
          <w:sz w:val="19"/>
          <w:szCs w:val="19"/>
        </w:rPr>
        <w:t xml:space="preserve">2. Posta cartacea: invio di segnalazione tramite lettera fisica: utilizzo di due buste chiuse, la prima con i dati identificativi del segnalante unitamente alla fotocopia del documento di riconoscimento; la seconda con la Segnalazione (in modo da separare i dati identificativi del Segnalante dalla Segnalazione). Entrambe le buste dovranno poi essere inserite in una terza busta chiusa che rechi all’esterno la dicitura “riservata” al Gestore delle Segnalazione e dovrà essere inviata </w:t>
      </w:r>
      <w:r>
        <w:t>a: “Alla c.a. del Gestore delle Segnalazioni – Riservata/Confidenziale”, ERQOLE HOSPITALITY S.r.l., Via Privata Cirio snc, CAP 58018 Orbetello - Porto Ercole (GR).</w:t>
      </w:r>
    </w:p>
    <w:p w14:paraId="07C27E8C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3. Messaggi vocali: tramite il sistema di messaggistica vocale integrato nella piattaforma Valore 24.</w:t>
      </w:r>
    </w:p>
    <w:p w14:paraId="4B7D6679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4. Incontro diretto: richiesta di incontro con le persone designate per la gestione delle segnalazioni.</w:t>
      </w:r>
    </w:p>
    <w:p w14:paraId="24D110D7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5. GESTIONE DELLE SEGNALAZIONI</w:t>
      </w:r>
    </w:p>
    <w:p w14:paraId="037FDCA1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1. Ricezione e registrazione: tutte le segnalazioni ricevute saranno registrate e confermate.</w:t>
      </w:r>
    </w:p>
    <w:p w14:paraId="5B3FBBC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2. Valutazione preliminare: ogni segnalazione sarà esaminata per verificarne la fondatezza e classificata in base alla gravità.</w:t>
      </w:r>
    </w:p>
    <w:p w14:paraId="37133FA5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3. Indagini interne: se necessario, verranno svolte verifiche per chiarire i fatti segnalati.</w:t>
      </w:r>
    </w:p>
    <w:p w14:paraId="787D76ED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4. Riscontro al segnalante: il segnalante riceverà un riscontro sulla gestione della segnalazione, ove possibile.</w:t>
      </w:r>
    </w:p>
    <w:p w14:paraId="00486813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5. Conclusione del processo: una volta completata l’indagine, verranno prese le azioni necessarie e la segnalazione chiusa.</w:t>
      </w:r>
    </w:p>
    <w:p w14:paraId="74CD4BAF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6. Reporting ai vertici: un report complessivo sarà inviato ai dirigenti aziendali.</w:t>
      </w:r>
    </w:p>
    <w:p w14:paraId="02DD6DEB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7. Conservazione dei dati: tutte le segnalazioni e i relativi documenti saranno conservati in modo sicuro.</w:t>
      </w:r>
    </w:p>
    <w:p w14:paraId="03CE7D1B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Il Gestore delle Segnalazioni invierà al Segnalante avviso di ricevimento entro 7 (sette) giorni dalla data di ricezione della Segnalazione stessa.</w:t>
      </w:r>
    </w:p>
    <w:p w14:paraId="23A2392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Entro 3 (tre) mesi dalla data dell'avviso di ricevimento o, in mancanza di tale avviso, entro 3 (tre) mesi dalla scadenza del termine di 7 (sette) giorni dalla presentazione della Segnalazione, il Gestore delle Segnalazioni provvede a dare riscontro al Segnalante mediante piattaforma o altro mezzo idoneo relativamente alla Segnalazione in merito al seguito che è stato dato o che s’intende dare alla Segnalazione.</w:t>
      </w:r>
    </w:p>
    <w:p w14:paraId="21772417" w14:textId="77777777" w:rsidR="000657DB" w:rsidRDefault="00352D6C" w:rsidP="00DB61BD">
      <w:pPr>
        <w:suppressAutoHyphens w:val="0"/>
        <w:spacing w:after="0" w:line="240" w:lineRule="auto"/>
        <w:textAlignment w:val="auto"/>
      </w:pPr>
      <w:r w:rsidRPr="00DB61BD">
        <w:rPr>
          <w:rFonts w:ascii="Libre Franklin" w:eastAsia="Calibri" w:hAnsi="Libre Franklin" w:cs="Times New Roman"/>
          <w:sz w:val="19"/>
          <w:szCs w:val="19"/>
        </w:rPr>
        <w:t xml:space="preserve">Nel caso in cui la Segnalazione sia presentata ad un soggetto diverso rispetto al Gestore delle Segnalazioni e sia qualificabile come Segnalazione oggetto della presente Procedura dalla stessa Persona Segnalante, tale soggetto dovrà trasmetterla al Gestore delle Segnalazioni, entro 7 (sette) giorni dal suo ricevimento, dando contestuale notizia scritta della trasmissione al Segnalante. </w:t>
      </w:r>
      <w:r>
        <w:t>Qualora la segnalazione, per contenuto, non integri una “violazione” ai sensi del D.Lgs. 24/2023, essa sarà gestita dai canali aziendali competenti (es. etico/HR), fermo restando l’obbligo di assicurare riservatezza e correttezza del trattamento.</w:t>
      </w:r>
    </w:p>
    <w:p w14:paraId="2D2FC904" w14:textId="77777777" w:rsidR="00DB61BD" w:rsidRDefault="00DB61BD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</w:p>
    <w:p w14:paraId="6EB715D4" w14:textId="2784D01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lastRenderedPageBreak/>
        <w:t>6. PRINCIPI E TUTELE PER IL SEGNALANTE</w:t>
      </w:r>
    </w:p>
    <w:p w14:paraId="00CD4CE5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1. Riservatezza: le informazioni contenute nelle segnalazioni saranno trattate in modo confidenziale.</w:t>
      </w:r>
    </w:p>
    <w:p w14:paraId="5F0BAFCD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2. Divieto di ritorsione: il segnalante non può subire danni per aver effettuato una segnalazione. Anche gli Altri Soggetti Tutelati (facilitatori – colleghi di lavoro – enti di proprietà del segnalante) non possono subire alcuna forma di ritorsione a causa del ruolo assunto nell’ambito del processo di Segnalazione o del particolare rapporto che li lega al Segnalante.</w:t>
      </w:r>
    </w:p>
    <w:p w14:paraId="5E6437AB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3. Inversione dell’onere della prova: Una volta che il segnalante provi di aver effettuato una segnalazione in conformità alla normativa e di aver subito un comportamento ritenuto ritorsivo, spetta al datore di lavoro l’onere di provare che tale comportamento non è in alcun modo collegato alla segnalazione.</w:t>
      </w:r>
    </w:p>
    <w:p w14:paraId="7C56811C" w14:textId="72F39A25" w:rsidR="000657DB" w:rsidRDefault="00352D6C" w:rsidP="00DB61BD">
      <w:pPr>
        <w:suppressAutoHyphens w:val="0"/>
        <w:spacing w:after="0" w:line="240" w:lineRule="auto"/>
        <w:textAlignment w:val="auto"/>
      </w:pPr>
      <w:r w:rsidRPr="00DB61BD">
        <w:rPr>
          <w:rFonts w:ascii="Libre Franklin" w:eastAsia="Calibri" w:hAnsi="Libre Franklin" w:cs="Times New Roman"/>
          <w:sz w:val="19"/>
          <w:szCs w:val="19"/>
        </w:rPr>
        <w:t xml:space="preserve">4. Limitazione della </w:t>
      </w:r>
      <w:r w:rsidR="00DB61BD" w:rsidRPr="00DB61BD">
        <w:rPr>
          <w:rFonts w:ascii="Libre Franklin" w:eastAsia="Calibri" w:hAnsi="Libre Franklin" w:cs="Times New Roman"/>
          <w:sz w:val="19"/>
          <w:szCs w:val="19"/>
        </w:rPr>
        <w:t>responsabilità:</w:t>
      </w:r>
      <w:r w:rsidRPr="00DB61BD">
        <w:rPr>
          <w:rFonts w:ascii="Libre Franklin" w:eastAsia="Calibri" w:hAnsi="Libre Franklin" w:cs="Times New Roman"/>
          <w:sz w:val="19"/>
          <w:szCs w:val="19"/>
        </w:rPr>
        <w:t xml:space="preserve"> </w:t>
      </w:r>
      <w:r>
        <w:t>Chi, al momento della segnalazione, aveva fondati motivi di ritenere che le informazioni fossero veritiere e rientrassero nell’ambito di applicazione della presente Procedura, e abbia utilizzato i canali previsti, nel rispetto dei principi di necessità e proporzionalità, non è responsabile delle rivelazioni o acquisizioni di informazioni effettuate per presentare una segnalazione, divulgazione pubblica o denuncia ai sensi della normativa. Restano salve le responsabilità penali e civili in caso di dolo o colpa grave.</w:t>
      </w:r>
    </w:p>
    <w:p w14:paraId="0AF91994" w14:textId="77777777" w:rsidR="00DB61BD" w:rsidRPr="00DB61BD" w:rsidRDefault="00DB61BD" w:rsidP="00DB61BD">
      <w:pPr>
        <w:pStyle w:val="Paragrafoelenco"/>
        <w:suppressAutoHyphens w:val="0"/>
        <w:spacing w:after="0" w:line="240" w:lineRule="auto"/>
        <w:ind w:left="360"/>
        <w:textAlignment w:val="auto"/>
      </w:pPr>
    </w:p>
    <w:p w14:paraId="1DA40171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5. Misure di supporto: la Società metterà in atto misure per proteggere i segnalanti e garantire un ambiente di lavoro sicuro.</w:t>
      </w:r>
    </w:p>
    <w:p w14:paraId="37D7FFAD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È istituto presso ANAC l'elenco degli enti del terzo settore che forniscono ai Segnalanti misure di sostegno.</w:t>
      </w:r>
    </w:p>
    <w:p w14:paraId="74786F74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Le misure di sostegno fornite consistono in informazioni, assistenza e consulenze a titolo gratuito sulle modalità di segnalazione e sulla protezione dalle ritorsioni offerta dalle disposizioni normative nazionali e da quelle dell'Unione europea, sui diritti della persona coinvolta, nonché sulle modalità e condizioni di accesso al patrocinio a spese dello Stato.</w:t>
      </w:r>
    </w:p>
    <w:p w14:paraId="4B58ACA7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7. CONSEGUENZE DISCIPLINARI</w:t>
      </w:r>
    </w:p>
    <w:p w14:paraId="23E451B8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Si rammenta che l’eventuale mancato rispetto di quanto contenuto nella presente procedura può comportare l’irrogazione di sanzioni disciplinari, nelle ipotesi previste dalla legge.</w:t>
      </w:r>
    </w:p>
    <w:p w14:paraId="091FCB8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A tale riguardo si chiarisce che la Società potrà irrogare sanzioni disciplinari così come previste dal Contratto Collettivo Nazionale di Lavoro di riferimento applicabile a coloro i quali:</w:t>
      </w:r>
    </w:p>
    <w:p w14:paraId="23CF98B1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• commettano ritorsioni nei confronti del Segnalante, ostacolino o tentino di ostacolare le Segnalazioni, violino gli obblighi di riservatezza come sopra descritti;</w:t>
      </w:r>
    </w:p>
    <w:p w14:paraId="6E217CF0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• non abbiano effettuato l’attività di verifica e analisi delle Segnalazioni ricevute.</w:t>
      </w:r>
    </w:p>
    <w:p w14:paraId="15C2FDB3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8. TRATTAMENTO DEI DATI PERSONALI</w:t>
      </w:r>
    </w:p>
    <w:p w14:paraId="748B6EE7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Le segnalazioni sono trattate in conformità con la normativa sulla protezione dei dati personali (GDPR e Codice Privacy). I dati saranno trattati solo per scopi legati alla gestione delle segnalazioni.</w:t>
      </w:r>
    </w:p>
    <w:p w14:paraId="242A7A92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Le Segnalazioni e la relativa documentazione sono conservate per il tempo necessario al trattamento della Segnalazione e comunque non oltre cinque anni a decorrere dalla data della comunicazione dell'esito finale della procedura di Segnalazione, o fino a conclusione del procedimento giudiziale o disciplinare eventualmente conseguito nei confronti del Segnalato o del Segnalante.</w:t>
      </w:r>
    </w:p>
    <w:p w14:paraId="0CAD0730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lastRenderedPageBreak/>
        <w:t>Sono adottate misure tecniche (es. cifratura nell’ambito della Piattaforma WB) e organizzative adeguate a garantire la sicurezza dei dati personali, in conformità alla normativa vigente, sia durante la trasmissione della Segnalazione sia durante l'analisi, la gestione e l'archiviazione della stessa.</w:t>
      </w:r>
    </w:p>
    <w:p w14:paraId="64F96F3D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L'accesso ai dati personali delle Segnalazioni è concesso solo al Gestore della Segnalazione già autorizzato ai sensi del GDPR, limitando la comunicazione delle informazioni riservate e dei dati personali a terzi solo quando sia necessario.</w:t>
      </w:r>
    </w:p>
    <w:p w14:paraId="502D56D8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Il titolare del trattamento è la Società.</w:t>
      </w:r>
    </w:p>
    <w:p w14:paraId="76697495" w14:textId="77777777" w:rsidR="000657DB" w:rsidRDefault="00352D6C">
      <w:pPr>
        <w:rPr>
          <w:rFonts w:ascii="Libre Franklin" w:eastAsia="Calibri" w:hAnsi="Libre Franklin" w:cs="Times New Roman"/>
          <w:b/>
          <w:bCs/>
          <w:sz w:val="19"/>
          <w:szCs w:val="19"/>
        </w:rPr>
      </w:pPr>
      <w:r>
        <w:rPr>
          <w:rFonts w:ascii="Libre Franklin" w:eastAsia="Calibri" w:hAnsi="Libre Franklin" w:cs="Times New Roman"/>
          <w:b/>
          <w:bCs/>
          <w:sz w:val="19"/>
          <w:szCs w:val="19"/>
        </w:rPr>
        <w:t>9. CANALI DI SEGNALAZIONE ESTERNI</w:t>
      </w:r>
    </w:p>
    <w:p w14:paraId="46AA6958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Nei casi in cui ricorra una delle seguenti condizioni, il Segnalante potrà effettuare una Segnalazione c.d. esterna, mediante uno dei canali messi a disposizione dall'ANAC:</w:t>
      </w:r>
    </w:p>
    <w:p w14:paraId="1298407E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qualora non sia stato istituito un canale di segnalazione interna ovvero quando lo stesso, anche se previsto, non è attivo;</w:t>
      </w:r>
    </w:p>
    <w:p w14:paraId="75EEEE59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quando il canale interno adottato non è conforme a quanto previsto dall'articolo 4 del Decreto;</w:t>
      </w:r>
    </w:p>
    <w:p w14:paraId="6A3ABE98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quando la Segnalazione effettuata con canale interno non ha avuto seguito;</w:t>
      </w:r>
    </w:p>
    <w:p w14:paraId="6AAECD92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quando il Segnalante ha fondati motivi – sulla base delle particolari circostanze del caso, precise e concordanti - di ritenere che, se effettuasse una Segnalazione con canali interni, alla stessa non sarebbe dato efficace seguito ovvero che la stessa Segnalazione possa determinare il rischio di ritorsione;</w:t>
      </w:r>
    </w:p>
    <w:p w14:paraId="4F1139A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- quando il Segnalante ha fondato motivo – sulla base delle particolari circostanze del caso, precise e concordanti - di ritenere che la Violazione possa costituire un pericolo imminente o palese per il pubblico interesse,</w:t>
      </w:r>
    </w:p>
    <w:p w14:paraId="62DD6673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La divulgazione pubblica può avvenire solo in specifici casi, ad esempio quando:</w:t>
      </w:r>
    </w:p>
    <w:p w14:paraId="62B03F1D" w14:textId="77777777" w:rsidR="000657DB" w:rsidRDefault="00352D6C">
      <w:pPr>
        <w:numPr>
          <w:ilvl w:val="0"/>
          <w:numId w:val="3"/>
        </w:numPr>
        <w:spacing w:after="160" w:line="254" w:lineRule="auto"/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Il Segnalante non ha ricevuto riscontro entro i termini previsti, dopo aver fatto una segnalazione interna ed esterna.</w:t>
      </w:r>
    </w:p>
    <w:p w14:paraId="1E72269C" w14:textId="77777777" w:rsidR="000657DB" w:rsidRDefault="00352D6C">
      <w:pPr>
        <w:numPr>
          <w:ilvl w:val="0"/>
          <w:numId w:val="3"/>
        </w:numPr>
        <w:spacing w:after="160" w:line="254" w:lineRule="auto"/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La violazione rappresenta un pericolo imminente per il pubblico, come una situazione di emergenza o rischio di danni irreversibili.</w:t>
      </w:r>
    </w:p>
    <w:p w14:paraId="1C3FF7CE" w14:textId="77777777" w:rsidR="000657DB" w:rsidRDefault="00352D6C">
      <w:pPr>
        <w:numPr>
          <w:ilvl w:val="0"/>
          <w:numId w:val="3"/>
        </w:numPr>
        <w:spacing w:after="160" w:line="254" w:lineRule="auto"/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Il Segnalante teme ritorsioni o che la segnalazione non porti a risultati concreti, ad esempio per il rischio di distruzione delle prove o per il coinvolgimento di persone responsabili della violazione.</w:t>
      </w:r>
    </w:p>
    <w:p w14:paraId="5D12581A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In tali casi, il Segnalante può divulgare la violazione pubblicamente, utilizzando media come stampa o canali elettronici per raggiungere un ampio pubblico.</w:t>
      </w:r>
    </w:p>
    <w:p w14:paraId="23CAB51D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Denuncia all’Autorità giudiziaria</w:t>
      </w:r>
    </w:p>
    <w:p w14:paraId="3292E0F1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Il Decreto riconosce ai soggetti tutelati anche la possibilità di rivolgersi alle Autorità giudiziarie, per inoltrare una denuncia di condotte illecite di cui siano venuti a conoscenza in un Contesto Lavorativo.</w:t>
      </w:r>
    </w:p>
    <w:p w14:paraId="47CC5B5C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Pubblicazione della Procedura</w:t>
      </w:r>
    </w:p>
    <w:p w14:paraId="05D9C226" w14:textId="77777777" w:rsidR="000657DB" w:rsidRDefault="00352D6C">
      <w:pPr>
        <w:rPr>
          <w:rFonts w:ascii="Libre Franklin" w:eastAsia="Calibri" w:hAnsi="Libre Franklin" w:cs="Times New Roman"/>
          <w:sz w:val="19"/>
          <w:szCs w:val="19"/>
        </w:rPr>
      </w:pPr>
      <w:r>
        <w:rPr>
          <w:rFonts w:ascii="Libre Franklin" w:eastAsia="Calibri" w:hAnsi="Libre Franklin" w:cs="Times New Roman"/>
          <w:sz w:val="19"/>
          <w:szCs w:val="19"/>
        </w:rPr>
        <w:t>La presente Procedura è esposta e resa facilmente visibile presso le sedi aziendali e pubblicata sul sito web www.miramis.com, ed è inoltre resa disponibile nella intranet aziendale.</w:t>
      </w:r>
    </w:p>
    <w:p w14:paraId="531D79E5" w14:textId="1ECAD2CB" w:rsidR="000657DB" w:rsidRPr="00DB61BD" w:rsidRDefault="00352D6C" w:rsidP="00DB61BD">
      <w:pPr>
        <w:jc w:val="both"/>
      </w:pPr>
      <w:r>
        <w:rPr>
          <w:rFonts w:ascii="Times New Roman" w:eastAsia="Calibri" w:hAnsi="Times New Roman" w:cs="Times New Roman"/>
          <w:sz w:val="19"/>
          <w:szCs w:val="19"/>
        </w:rPr>
        <w:t>‍</w:t>
      </w:r>
    </w:p>
    <w:sectPr w:rsidR="000657DB" w:rsidRPr="00DB61B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1AB2E" w14:textId="77777777" w:rsidR="00B20436" w:rsidRDefault="00B20436">
      <w:pPr>
        <w:spacing w:after="0" w:line="240" w:lineRule="auto"/>
      </w:pPr>
      <w:r>
        <w:separator/>
      </w:r>
    </w:p>
  </w:endnote>
  <w:endnote w:type="continuationSeparator" w:id="0">
    <w:p w14:paraId="7CAAD77F" w14:textId="77777777" w:rsidR="00B20436" w:rsidRDefault="00B2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re Franklin">
    <w:panose1 w:val="00000000000000000000"/>
    <w:charset w:val="00"/>
    <w:family w:val="auto"/>
    <w:pitch w:val="variable"/>
    <w:sig w:usb0="A00002FF" w:usb1="4000205B" w:usb2="00000000" w:usb3="00000000" w:csb0="00000197" w:csb1="00000000"/>
  </w:font>
  <w:font w:name="Portrait Regular">
    <w:altName w:val="Cambria"/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randon Grotesque Regular">
    <w:altName w:val="Calibri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EA51" w14:textId="77777777" w:rsidR="00D54EA8" w:rsidRDefault="00352D6C">
    <w:pPr>
      <w:pStyle w:val="Pidipagina"/>
      <w:jc w:val="right"/>
    </w:pPr>
    <w:r>
      <w:rPr>
        <w:color w:val="4472C4"/>
        <w:sz w:val="20"/>
        <w:szCs w:val="20"/>
      </w:rPr>
      <w:t xml:space="preserve">pag. </w:t>
    </w: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 xml:space="preserve"> PAGE \* ARABIC </w:instrText>
    </w:r>
    <w:r>
      <w:rPr>
        <w:color w:val="4472C4"/>
        <w:sz w:val="20"/>
        <w:szCs w:val="20"/>
      </w:rPr>
      <w:fldChar w:fldCharType="separate"/>
    </w:r>
    <w:r>
      <w:rPr>
        <w:color w:val="4472C4"/>
        <w:sz w:val="20"/>
        <w:szCs w:val="20"/>
      </w:rPr>
      <w:t>1</w:t>
    </w:r>
    <w:r>
      <w:rPr>
        <w:color w:val="4472C4"/>
        <w:sz w:val="20"/>
        <w:szCs w:val="20"/>
      </w:rPr>
      <w:fldChar w:fldCharType="end"/>
    </w:r>
  </w:p>
  <w:p w14:paraId="1C670723" w14:textId="77777777" w:rsidR="00D54EA8" w:rsidRDefault="00D54EA8">
    <w:pPr>
      <w:pStyle w:val="Pidipagina"/>
    </w:pPr>
  </w:p>
  <w:tbl>
    <w:tblPr>
      <w:tblW w:w="962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69"/>
      <w:gridCol w:w="989"/>
      <w:gridCol w:w="2961"/>
      <w:gridCol w:w="1029"/>
      <w:gridCol w:w="1834"/>
      <w:gridCol w:w="1546"/>
    </w:tblGrid>
    <w:tr w:rsidR="002A0A75" w14:paraId="469706E9" w14:textId="77777777">
      <w:tc>
        <w:tcPr>
          <w:tcW w:w="1269" w:type="dxa"/>
          <w:tcBorders>
            <w:top w:val="single" w:sz="4" w:space="0" w:color="808080"/>
            <w:left w:val="single" w:sz="4" w:space="0" w:color="808080"/>
            <w:bottom w:val="dotted" w:sz="4" w:space="0" w:color="00000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78977CC" w14:textId="77777777" w:rsidR="00D54EA8" w:rsidRDefault="00352D6C">
          <w:pPr>
            <w:pStyle w:val="Pidipagina"/>
            <w:rPr>
              <w:rFonts w:ascii="Portrait Regular" w:hAnsi="Portrait Regular" w:cs="Calibri"/>
              <w:b/>
              <w:color w:val="808080"/>
              <w:sz w:val="18"/>
              <w:szCs w:val="18"/>
            </w:rPr>
          </w:pPr>
          <w:r>
            <w:rPr>
              <w:rFonts w:ascii="Portrait Regular" w:hAnsi="Portrait Regular" w:cs="Calibri"/>
              <w:b/>
              <w:color w:val="808080"/>
              <w:sz w:val="18"/>
              <w:szCs w:val="18"/>
            </w:rPr>
            <w:t>Divisione</w:t>
          </w:r>
        </w:p>
      </w:tc>
      <w:tc>
        <w:tcPr>
          <w:tcW w:w="989" w:type="dxa"/>
          <w:tcBorders>
            <w:top w:val="single" w:sz="4" w:space="0" w:color="808080"/>
            <w:left w:val="single" w:sz="4" w:space="0" w:color="808080"/>
            <w:bottom w:val="dotted" w:sz="4" w:space="0" w:color="00000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C59BC9" w14:textId="77777777" w:rsidR="00D54EA8" w:rsidRDefault="00352D6C">
          <w:pPr>
            <w:pStyle w:val="Pidipagina"/>
            <w:rPr>
              <w:rFonts w:ascii="Portrait Regular" w:hAnsi="Portrait Regular" w:cs="Calibri"/>
              <w:b/>
              <w:color w:val="808080"/>
              <w:sz w:val="18"/>
              <w:szCs w:val="18"/>
            </w:rPr>
          </w:pPr>
          <w:r>
            <w:rPr>
              <w:rFonts w:ascii="Portrait Regular" w:hAnsi="Portrait Regular" w:cs="Calibri"/>
              <w:b/>
              <w:color w:val="808080"/>
              <w:sz w:val="18"/>
              <w:szCs w:val="18"/>
            </w:rPr>
            <w:t>Autore</w:t>
          </w:r>
        </w:p>
      </w:tc>
      <w:tc>
        <w:tcPr>
          <w:tcW w:w="2961" w:type="dxa"/>
          <w:tcBorders>
            <w:top w:val="single" w:sz="4" w:space="0" w:color="808080"/>
            <w:left w:val="single" w:sz="4" w:space="0" w:color="808080"/>
            <w:bottom w:val="dotted" w:sz="4" w:space="0" w:color="00000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AF63D38" w14:textId="77777777" w:rsidR="00D54EA8" w:rsidRDefault="00352D6C">
          <w:pPr>
            <w:pStyle w:val="Pidipagina"/>
            <w:rPr>
              <w:rFonts w:ascii="Portrait Regular" w:hAnsi="Portrait Regular" w:cs="Calibri"/>
              <w:b/>
              <w:color w:val="808080"/>
              <w:sz w:val="18"/>
              <w:szCs w:val="18"/>
            </w:rPr>
          </w:pPr>
          <w:r>
            <w:rPr>
              <w:rFonts w:ascii="Portrait Regular" w:hAnsi="Portrait Regular" w:cs="Calibri"/>
              <w:b/>
              <w:color w:val="808080"/>
              <w:sz w:val="18"/>
              <w:szCs w:val="18"/>
            </w:rPr>
            <w:t>Procedura</w:t>
          </w:r>
        </w:p>
      </w:tc>
      <w:tc>
        <w:tcPr>
          <w:tcW w:w="1029" w:type="dxa"/>
          <w:tcBorders>
            <w:top w:val="single" w:sz="4" w:space="0" w:color="808080"/>
            <w:left w:val="single" w:sz="4" w:space="0" w:color="808080"/>
            <w:bottom w:val="dotted" w:sz="4" w:space="0" w:color="00000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39766F5" w14:textId="77777777" w:rsidR="00D54EA8" w:rsidRDefault="00352D6C">
          <w:pPr>
            <w:pStyle w:val="Pidipagina"/>
            <w:rPr>
              <w:rFonts w:ascii="Portrait Regular" w:hAnsi="Portrait Regular" w:cs="Calibri"/>
              <w:b/>
              <w:color w:val="808080"/>
              <w:sz w:val="18"/>
              <w:szCs w:val="18"/>
            </w:rPr>
          </w:pPr>
          <w:r>
            <w:rPr>
              <w:rFonts w:ascii="Portrait Regular" w:hAnsi="Portrait Regular" w:cs="Calibri"/>
              <w:b/>
              <w:color w:val="808080"/>
              <w:sz w:val="18"/>
              <w:szCs w:val="18"/>
            </w:rPr>
            <w:t>Revisione</w:t>
          </w:r>
        </w:p>
      </w:tc>
      <w:tc>
        <w:tcPr>
          <w:tcW w:w="1834" w:type="dxa"/>
          <w:tcBorders>
            <w:top w:val="single" w:sz="4" w:space="0" w:color="808080"/>
            <w:left w:val="single" w:sz="4" w:space="0" w:color="808080"/>
            <w:bottom w:val="dotted" w:sz="4" w:space="0" w:color="00000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255A822" w14:textId="77777777" w:rsidR="00D54EA8" w:rsidRDefault="00352D6C">
          <w:pPr>
            <w:pStyle w:val="Pidipagina"/>
            <w:rPr>
              <w:rFonts w:ascii="Portrait Regular" w:hAnsi="Portrait Regular" w:cs="Calibri"/>
              <w:b/>
              <w:color w:val="808080"/>
              <w:sz w:val="18"/>
              <w:szCs w:val="18"/>
            </w:rPr>
          </w:pPr>
          <w:r>
            <w:rPr>
              <w:rFonts w:ascii="Portrait Regular" w:hAnsi="Portrait Regular" w:cs="Calibri"/>
              <w:b/>
              <w:color w:val="808080"/>
              <w:sz w:val="18"/>
              <w:szCs w:val="18"/>
            </w:rPr>
            <w:t>Del</w:t>
          </w:r>
        </w:p>
      </w:tc>
      <w:tc>
        <w:tcPr>
          <w:tcW w:w="1546" w:type="dxa"/>
          <w:tcBorders>
            <w:top w:val="single" w:sz="4" w:space="0" w:color="808080"/>
            <w:left w:val="single" w:sz="4" w:space="0" w:color="808080"/>
            <w:bottom w:val="dotted" w:sz="4" w:space="0" w:color="00000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B20061A" w14:textId="77777777" w:rsidR="00D54EA8" w:rsidRDefault="00352D6C">
          <w:pPr>
            <w:pStyle w:val="Pidipagina"/>
            <w:rPr>
              <w:rFonts w:ascii="Portrait Regular" w:hAnsi="Portrait Regular" w:cs="Calibri"/>
              <w:b/>
              <w:color w:val="808080"/>
              <w:sz w:val="18"/>
              <w:szCs w:val="18"/>
            </w:rPr>
          </w:pPr>
          <w:r>
            <w:rPr>
              <w:rFonts w:ascii="Portrait Regular" w:hAnsi="Portrait Regular" w:cs="Calibri"/>
              <w:b/>
              <w:color w:val="808080"/>
              <w:sz w:val="18"/>
              <w:szCs w:val="18"/>
            </w:rPr>
            <w:t>Pag.</w:t>
          </w:r>
        </w:p>
      </w:tc>
    </w:tr>
    <w:tr w:rsidR="002A0A75" w14:paraId="40A68937" w14:textId="77777777">
      <w:tc>
        <w:tcPr>
          <w:tcW w:w="1269" w:type="dxa"/>
          <w:tcBorders>
            <w:top w:val="dotted" w:sz="4" w:space="0" w:color="00000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AF0EF0A" w14:textId="77777777" w:rsidR="00D54EA8" w:rsidRDefault="00352D6C">
          <w:pPr>
            <w:pStyle w:val="Pidipagina"/>
          </w:pPr>
          <w:r>
            <w:rPr>
              <w:rFonts w:ascii="Portrait Regular" w:hAnsi="Portrait Regular" w:cs="Calibri"/>
              <w:color w:val="808080"/>
              <w:sz w:val="18"/>
              <w:szCs w:val="18"/>
            </w:rPr>
            <w:t>C</w:t>
          </w:r>
          <w:r>
            <w:rPr>
              <w:rFonts w:ascii="Portrait Regular" w:hAnsi="Portrait Regular"/>
              <w:color w:val="808080"/>
              <w:sz w:val="18"/>
              <w:szCs w:val="18"/>
            </w:rPr>
            <w:t>ompliance</w:t>
          </w:r>
        </w:p>
      </w:tc>
      <w:tc>
        <w:tcPr>
          <w:tcW w:w="989" w:type="dxa"/>
          <w:tcBorders>
            <w:top w:val="dotted" w:sz="4" w:space="0" w:color="00000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80F16AA" w14:textId="77777777" w:rsidR="00D54EA8" w:rsidRDefault="00352D6C">
          <w:pPr>
            <w:pStyle w:val="Pidipagina"/>
          </w:pPr>
          <w:r>
            <w:rPr>
              <w:rFonts w:ascii="Portrait Regular" w:hAnsi="Portrait Regular" w:cs="Calibri"/>
              <w:color w:val="808080"/>
              <w:sz w:val="18"/>
              <w:szCs w:val="18"/>
            </w:rPr>
            <w:t>D</w:t>
          </w:r>
          <w:r>
            <w:rPr>
              <w:rFonts w:ascii="Portrait Regular" w:hAnsi="Portrait Regular"/>
              <w:color w:val="808080"/>
              <w:sz w:val="18"/>
              <w:szCs w:val="18"/>
            </w:rPr>
            <w:t>e Lecce</w:t>
          </w:r>
        </w:p>
      </w:tc>
      <w:tc>
        <w:tcPr>
          <w:tcW w:w="2961" w:type="dxa"/>
          <w:tcBorders>
            <w:top w:val="dotted" w:sz="4" w:space="0" w:color="00000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5E57542" w14:textId="77777777" w:rsidR="00D54EA8" w:rsidRDefault="00352D6C">
          <w:pPr>
            <w:jc w:val="center"/>
          </w:pPr>
          <w:r>
            <w:rPr>
              <w:rFonts w:ascii="Garamond" w:hAnsi="Garamond"/>
              <w:b/>
              <w:bCs/>
              <w:sz w:val="16"/>
              <w:szCs w:val="16"/>
            </w:rPr>
            <w:t xml:space="preserve">PROCEDURA WHISTLEBLOWING </w:t>
          </w:r>
        </w:p>
      </w:tc>
      <w:tc>
        <w:tcPr>
          <w:tcW w:w="1029" w:type="dxa"/>
          <w:tcBorders>
            <w:top w:val="dotted" w:sz="4" w:space="0" w:color="00000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ED06EC4" w14:textId="77777777" w:rsidR="00D54EA8" w:rsidRPr="00675196" w:rsidRDefault="00352D6C">
          <w:pPr>
            <w:pStyle w:val="Pidipagina"/>
          </w:pPr>
          <w:r w:rsidRPr="00675196">
            <w:rPr>
              <w:rFonts w:ascii="Portrait Regular" w:hAnsi="Portrait Regular" w:cs="Calibri"/>
              <w:color w:val="808080"/>
              <w:sz w:val="18"/>
              <w:szCs w:val="18"/>
            </w:rPr>
            <w:t>Rev. 02</w:t>
          </w:r>
        </w:p>
      </w:tc>
      <w:tc>
        <w:tcPr>
          <w:tcW w:w="1834" w:type="dxa"/>
          <w:tcBorders>
            <w:top w:val="dotted" w:sz="4" w:space="0" w:color="00000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D3656E8" w14:textId="77777777" w:rsidR="00D54EA8" w:rsidRPr="00675196" w:rsidRDefault="00352D6C">
          <w:pPr>
            <w:pStyle w:val="Pidipagina"/>
          </w:pPr>
          <w:r w:rsidRPr="00675196">
            <w:rPr>
              <w:rFonts w:ascii="Portrait Regular" w:hAnsi="Portrait Regular" w:cs="Calibri"/>
              <w:color w:val="808080"/>
              <w:sz w:val="18"/>
              <w:szCs w:val="18"/>
            </w:rPr>
            <w:t>30/10/2025</w:t>
          </w:r>
        </w:p>
      </w:tc>
      <w:tc>
        <w:tcPr>
          <w:tcW w:w="1546" w:type="dxa"/>
          <w:tcBorders>
            <w:top w:val="dotted" w:sz="4" w:space="0" w:color="000000"/>
            <w:left w:val="single" w:sz="4" w:space="0" w:color="808080"/>
            <w:bottom w:val="single" w:sz="4" w:space="0" w:color="808080"/>
            <w:right w:val="single" w:sz="4" w:space="0" w:color="80808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8B0C5F1" w14:textId="77777777" w:rsidR="00D54EA8" w:rsidRDefault="00352D6C">
          <w:pPr>
            <w:pStyle w:val="Pidipagina"/>
          </w:pPr>
          <w:r>
            <w:rPr>
              <w:rFonts w:ascii="Portrait Regular" w:hAnsi="Portrait Regular" w:cs="Calibri"/>
              <w:color w:val="808080"/>
              <w:sz w:val="18"/>
              <w:szCs w:val="18"/>
            </w:rPr>
            <w:t xml:space="preserve">Pag. </w:t>
          </w:r>
          <w:r>
            <w:rPr>
              <w:rFonts w:ascii="Portrait Regular" w:hAnsi="Portrait Regular" w:cs="Calibri"/>
              <w:b/>
              <w:bCs/>
              <w:color w:val="808080"/>
              <w:sz w:val="18"/>
              <w:szCs w:val="18"/>
            </w:rPr>
            <w:fldChar w:fldCharType="begin"/>
          </w:r>
          <w:r>
            <w:rPr>
              <w:rFonts w:ascii="Portrait Regular" w:hAnsi="Portrait Regular" w:cs="Calibri"/>
              <w:b/>
              <w:bCs/>
              <w:color w:val="808080"/>
              <w:sz w:val="18"/>
              <w:szCs w:val="18"/>
            </w:rPr>
            <w:instrText xml:space="preserve"> PAGE \* ARABIC </w:instrText>
          </w:r>
          <w:r>
            <w:rPr>
              <w:rFonts w:ascii="Portrait Regular" w:hAnsi="Portrait Regular" w:cs="Calibri"/>
              <w:b/>
              <w:bCs/>
              <w:color w:val="808080"/>
              <w:sz w:val="18"/>
              <w:szCs w:val="18"/>
            </w:rPr>
            <w:fldChar w:fldCharType="separate"/>
          </w:r>
          <w:r>
            <w:rPr>
              <w:rFonts w:ascii="Portrait Regular" w:hAnsi="Portrait Regular" w:cs="Calibri"/>
              <w:b/>
              <w:bCs/>
              <w:color w:val="808080"/>
              <w:sz w:val="18"/>
              <w:szCs w:val="18"/>
            </w:rPr>
            <w:t>1</w:t>
          </w:r>
          <w:r>
            <w:rPr>
              <w:rFonts w:ascii="Portrait Regular" w:hAnsi="Portrait Regular" w:cs="Calibri"/>
              <w:b/>
              <w:bCs/>
              <w:color w:val="808080"/>
              <w:sz w:val="18"/>
              <w:szCs w:val="18"/>
            </w:rPr>
            <w:fldChar w:fldCharType="end"/>
          </w:r>
          <w:r>
            <w:rPr>
              <w:rFonts w:ascii="Portrait Regular" w:hAnsi="Portrait Regular" w:cs="Calibri"/>
              <w:color w:val="808080"/>
              <w:sz w:val="18"/>
              <w:szCs w:val="18"/>
            </w:rPr>
            <w:t xml:space="preserve"> a </w:t>
          </w:r>
          <w:r>
            <w:rPr>
              <w:rFonts w:ascii="Portrait Regular" w:hAnsi="Portrait Regular" w:cs="Calibri"/>
            </w:rPr>
            <w:fldChar w:fldCharType="begin"/>
          </w:r>
          <w:r>
            <w:rPr>
              <w:rFonts w:ascii="Portrait Regular" w:hAnsi="Portrait Regular" w:cs="Calibri"/>
            </w:rPr>
            <w:instrText xml:space="preserve"> NUMPAGES \* ARABIC </w:instrText>
          </w:r>
          <w:r>
            <w:rPr>
              <w:rFonts w:ascii="Portrait Regular" w:hAnsi="Portrait Regular" w:cs="Calibri"/>
            </w:rPr>
            <w:fldChar w:fldCharType="separate"/>
          </w:r>
          <w:r>
            <w:rPr>
              <w:rFonts w:ascii="Portrait Regular" w:hAnsi="Portrait Regular" w:cs="Calibri"/>
            </w:rPr>
            <w:t>6</w:t>
          </w:r>
          <w:r>
            <w:rPr>
              <w:rFonts w:ascii="Portrait Regular" w:hAnsi="Portrait Regular" w:cs="Calibri"/>
            </w:rPr>
            <w:fldChar w:fldCharType="end"/>
          </w:r>
        </w:p>
      </w:tc>
    </w:tr>
  </w:tbl>
  <w:p w14:paraId="4FEAD494" w14:textId="77777777" w:rsidR="00D54EA8" w:rsidRDefault="00D54E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25AD" w14:textId="77777777" w:rsidR="00B20436" w:rsidRDefault="00B204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AC9C94" w14:textId="77777777" w:rsidR="00B20436" w:rsidRDefault="00B2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027F" w14:textId="77777777" w:rsidR="00D54EA8" w:rsidRDefault="00352D6C">
    <w:pPr>
      <w:pStyle w:val="Intestazione"/>
    </w:pPr>
    <w:r>
      <w:rPr>
        <w:rFonts w:ascii="Brandon Grotesque Regular" w:eastAsia="Times New Roman" w:hAnsi="Brandon Grotesque Regular" w:cs="Times New Roman"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50932579" wp14:editId="38116980">
          <wp:simplePos x="0" y="0"/>
          <wp:positionH relativeFrom="margin">
            <wp:align>center</wp:align>
          </wp:positionH>
          <wp:positionV relativeFrom="paragraph">
            <wp:posOffset>-274950</wp:posOffset>
          </wp:positionV>
          <wp:extent cx="1938656" cy="312423"/>
          <wp:effectExtent l="0" t="0" r="4444" b="0"/>
          <wp:wrapNone/>
          <wp:docPr id="643970065" name="Immagine 1" descr="Immagine che contiene nero, oscurità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8656" cy="3124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3E0"/>
    <w:multiLevelType w:val="multilevel"/>
    <w:tmpl w:val="0D8AA5DE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○"/>
      <w:lvlJc w:val="left"/>
      <w:pPr>
        <w:ind w:left="1440" w:hanging="360"/>
      </w:pPr>
    </w:lvl>
    <w:lvl w:ilvl="2">
      <w:numFmt w:val="bullet"/>
      <w:lvlText w:val="■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○"/>
      <w:lvlJc w:val="left"/>
      <w:pPr>
        <w:ind w:left="3600" w:hanging="360"/>
      </w:pPr>
    </w:lvl>
    <w:lvl w:ilvl="5">
      <w:numFmt w:val="bullet"/>
      <w:lvlText w:val="■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●"/>
      <w:lvlJc w:val="left"/>
      <w:pPr>
        <w:ind w:left="5760" w:hanging="360"/>
      </w:pPr>
    </w:lvl>
    <w:lvl w:ilvl="8"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CCF2DA2"/>
    <w:multiLevelType w:val="multilevel"/>
    <w:tmpl w:val="A3CA10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72B569C4"/>
    <w:multiLevelType w:val="multilevel"/>
    <w:tmpl w:val="7F8A4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25878749">
    <w:abstractNumId w:val="0"/>
  </w:num>
  <w:num w:numId="2" w16cid:durableId="1452476221">
    <w:abstractNumId w:val="2"/>
  </w:num>
  <w:num w:numId="3" w16cid:durableId="40811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DB"/>
    <w:rsid w:val="000657DB"/>
    <w:rsid w:val="00180218"/>
    <w:rsid w:val="002040A7"/>
    <w:rsid w:val="00352D6C"/>
    <w:rsid w:val="004544FC"/>
    <w:rsid w:val="005877A6"/>
    <w:rsid w:val="00675196"/>
    <w:rsid w:val="00AE7C4E"/>
    <w:rsid w:val="00B20436"/>
    <w:rsid w:val="00C04B26"/>
    <w:rsid w:val="00D54EA8"/>
    <w:rsid w:val="00DB61BD"/>
    <w:rsid w:val="00E7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61DB"/>
  <w15:docId w15:val="{39A212CB-1ADD-48A7-A636-22F3E451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eastAsia="Yu Mincho"/>
      <w:lang w:eastAsia="en-C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F5496"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eastAsia="Yu Gothic Light" w:hAnsi="Calibri Light" w:cs="Times New Roman"/>
      <w:color w:val="1F376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rPr>
      <w:rFonts w:ascii="Calibri Light" w:eastAsia="Yu Gothic Light" w:hAnsi="Calibri Light" w:cs="Times New Roman"/>
      <w:color w:val="2F5496"/>
      <w:sz w:val="32"/>
      <w:szCs w:val="32"/>
      <w:lang w:val="en-CA" w:eastAsia="en-CA"/>
    </w:rPr>
  </w:style>
  <w:style w:type="character" w:customStyle="1" w:styleId="Titolo2Carattere">
    <w:name w:val="Titolo 2 Carattere"/>
    <w:basedOn w:val="Carpredefinitoparagrafo"/>
    <w:rPr>
      <w:rFonts w:ascii="Calibri Light" w:eastAsia="Yu Gothic Light" w:hAnsi="Calibri Light" w:cs="Times New Roman"/>
      <w:color w:val="2F5496"/>
      <w:sz w:val="26"/>
      <w:szCs w:val="26"/>
      <w:lang w:val="en-CA" w:eastAsia="en-C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pPr>
      <w:spacing w:line="254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tabs>
        <w:tab w:val="left" w:pos="660"/>
        <w:tab w:val="right" w:leader="dot" w:pos="9628"/>
      </w:tabs>
      <w:spacing w:after="100"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rFonts w:eastAsia="Yu Mincho"/>
      <w:lang w:val="en-CA" w:eastAsia="en-C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rFonts w:eastAsia="Yu Mincho"/>
      <w:lang w:val="en-CA" w:eastAsia="en-CA"/>
    </w:rPr>
  </w:style>
  <w:style w:type="paragraph" w:styleId="Titolo">
    <w:name w:val="Title"/>
    <w:basedOn w:val="Nessunaspaziatura"/>
    <w:next w:val="Normale"/>
    <w:uiPriority w:val="10"/>
    <w:qFormat/>
    <w:pPr>
      <w:pBdr>
        <w:bottom w:val="single" w:sz="4" w:space="1" w:color="000000"/>
      </w:pBdr>
      <w:jc w:val="center"/>
    </w:pPr>
    <w:rPr>
      <w:rFonts w:eastAsia="Calibri" w:cs="Times New Roman"/>
      <w:b/>
      <w:smallCaps/>
      <w:sz w:val="52"/>
      <w:szCs w:val="52"/>
      <w:lang w:val="it-IT" w:eastAsia="en-US"/>
    </w:rPr>
  </w:style>
  <w:style w:type="character" w:customStyle="1" w:styleId="TitoloCarattere">
    <w:name w:val="Titolo Carattere"/>
    <w:basedOn w:val="Carpredefinitoparagrafo"/>
    <w:rPr>
      <w:rFonts w:ascii="Calibri" w:eastAsia="Calibri" w:hAnsi="Calibri" w:cs="Times New Roman"/>
      <w:b/>
      <w:smallCaps/>
      <w:sz w:val="52"/>
      <w:szCs w:val="52"/>
    </w:rPr>
  </w:style>
  <w:style w:type="paragraph" w:customStyle="1" w:styleId="revisione">
    <w:name w:val="revisione"/>
    <w:basedOn w:val="Intestazione"/>
    <w:pPr>
      <w:tabs>
        <w:tab w:val="clear" w:pos="4819"/>
        <w:tab w:val="clear" w:pos="9638"/>
        <w:tab w:val="center" w:pos="4252"/>
        <w:tab w:val="right" w:pos="8504"/>
      </w:tabs>
      <w:spacing w:before="120" w:after="120"/>
      <w:jc w:val="center"/>
    </w:pPr>
    <w:rPr>
      <w:rFonts w:ascii="Arial" w:eastAsia="Times New Roman" w:hAnsi="Arial" w:cs="Times New Roman"/>
      <w:sz w:val="16"/>
      <w:szCs w:val="20"/>
      <w:lang w:eastAsia="it-IT"/>
    </w:rPr>
  </w:style>
  <w:style w:type="paragraph" w:customStyle="1" w:styleId="Numero">
    <w:name w:val="Numero"/>
    <w:basedOn w:val="Normale"/>
    <w:pPr>
      <w:spacing w:before="120" w:after="120" w:line="360" w:lineRule="atLeast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Nessunaspaziatura">
    <w:name w:val="No Spacing"/>
    <w:pPr>
      <w:suppressAutoHyphens/>
      <w:spacing w:after="0" w:line="240" w:lineRule="auto"/>
    </w:pPr>
    <w:rPr>
      <w:rFonts w:eastAsia="Yu Mincho"/>
      <w:lang w:val="en-CA" w:eastAsia="en-CA"/>
    </w:rPr>
  </w:style>
  <w:style w:type="character" w:styleId="Enfasigrassetto">
    <w:name w:val="Strong"/>
    <w:basedOn w:val="Carpredefinitoparagrafo"/>
    <w:rPr>
      <w:b/>
      <w:bCs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jsx-3897347038">
    <w:name w:val="jsx-3897347038"/>
    <w:basedOn w:val="Normal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rPr>
      <w:rFonts w:ascii="Calibri Light" w:eastAsia="Yu Gothic Light" w:hAnsi="Calibri Light" w:cs="Times New Roman"/>
      <w:color w:val="1F3763"/>
      <w:lang w:eastAsia="en-CA"/>
    </w:rPr>
  </w:style>
  <w:style w:type="character" w:customStyle="1" w:styleId="badge">
    <w:name w:val="badge"/>
    <w:basedOn w:val="Carpredefinitoparagrafo"/>
  </w:style>
  <w:style w:type="character" w:customStyle="1" w:styleId="text-container">
    <w:name w:val="text-container"/>
    <w:basedOn w:val="Carpredefinitoparagrafo"/>
  </w:style>
  <w:style w:type="paragraph" w:customStyle="1" w:styleId="miramis">
    <w:name w:val="miramis"/>
    <w:basedOn w:val="Titolo1"/>
    <w:autoRedefine/>
    <w:rPr>
      <w:rFonts w:ascii="Libre Franklin" w:hAnsi="Libre Franklin"/>
      <w:b/>
      <w:bCs/>
      <w:sz w:val="20"/>
      <w:szCs w:val="20"/>
    </w:rPr>
  </w:style>
  <w:style w:type="character" w:customStyle="1" w:styleId="miramisCarattere">
    <w:name w:val="miramis Carattere"/>
    <w:basedOn w:val="Titolo1Carattere"/>
    <w:rPr>
      <w:rFonts w:ascii="Libre Franklin" w:eastAsia="Yu Gothic Light" w:hAnsi="Libre Franklin" w:cs="Times New Roman"/>
      <w:b/>
      <w:bCs/>
      <w:color w:val="2F5496"/>
      <w:sz w:val="20"/>
      <w:szCs w:val="20"/>
      <w:lang w:val="en-CA" w:eastAsia="en-CA"/>
    </w:rPr>
  </w:style>
  <w:style w:type="paragraph" w:styleId="Revisione0">
    <w:name w:val="Revision"/>
    <w:pPr>
      <w:suppressAutoHyphens/>
      <w:spacing w:after="0" w:line="240" w:lineRule="auto"/>
    </w:pPr>
    <w:rPr>
      <w:rFonts w:eastAsia="Yu Mincho"/>
      <w:lang w:eastAsia="en-CA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rFonts w:eastAsia="Yu Mincho"/>
      <w:sz w:val="20"/>
      <w:szCs w:val="20"/>
      <w:lang w:eastAsia="en-CA"/>
    </w:rPr>
  </w:style>
  <w:style w:type="character" w:styleId="Rimandocommento">
    <w:name w:val="annotation reference"/>
    <w:basedOn w:val="Carpredefinitoparagraf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BFA608CEC9AC429A96CF8A82075341" ma:contentTypeVersion="13" ma:contentTypeDescription="Creare un nuovo documento." ma:contentTypeScope="" ma:versionID="a72c429a61dcadcc0eaee728aede38dd">
  <xsd:schema xmlns:xsd="http://www.w3.org/2001/XMLSchema" xmlns:xs="http://www.w3.org/2001/XMLSchema" xmlns:p="http://schemas.microsoft.com/office/2006/metadata/properties" xmlns:ns2="9672971e-56e6-4fe1-8865-cf38407b41df" xmlns:ns3="9f2c24d8-1c19-491b-80fd-24a86573a0eb" targetNamespace="http://schemas.microsoft.com/office/2006/metadata/properties" ma:root="true" ma:fieldsID="e7658d2f3c612c360d3c8b766c63b5c0" ns2:_="" ns3:_="">
    <xsd:import namespace="9672971e-56e6-4fe1-8865-cf38407b41df"/>
    <xsd:import namespace="9f2c24d8-1c19-491b-80fd-24a86573a0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2971e-56e6-4fe1-8865-cf38407b4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eeb3545-d982-41a9-b819-fd0dc29d0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24d8-1c19-491b-80fd-24a86573a0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e1ccb2-c3b9-466b-8bd8-6c07d1953e08}" ma:internalName="TaxCatchAll" ma:showField="CatchAllData" ma:web="9f2c24d8-1c19-491b-80fd-24a86573a0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2971e-56e6-4fe1-8865-cf38407b41df">
      <Terms xmlns="http://schemas.microsoft.com/office/infopath/2007/PartnerControls"/>
    </lcf76f155ced4ddcb4097134ff3c332f>
    <TaxCatchAll xmlns="9f2c24d8-1c19-491b-80fd-24a86573a0eb" xsi:nil="true"/>
  </documentManagement>
</p:properties>
</file>

<file path=customXml/itemProps1.xml><?xml version="1.0" encoding="utf-8"?>
<ds:datastoreItem xmlns:ds="http://schemas.openxmlformats.org/officeDocument/2006/customXml" ds:itemID="{C8E3C904-D644-4157-A22F-1412EFD14C62}"/>
</file>

<file path=customXml/itemProps2.xml><?xml version="1.0" encoding="utf-8"?>
<ds:datastoreItem xmlns:ds="http://schemas.openxmlformats.org/officeDocument/2006/customXml" ds:itemID="{1AB5F4C0-3E18-4418-84D2-4B9E69602679}"/>
</file>

<file path=customXml/itemProps3.xml><?xml version="1.0" encoding="utf-8"?>
<ds:datastoreItem xmlns:ds="http://schemas.openxmlformats.org/officeDocument/2006/customXml" ds:itemID="{BFA50E94-41E5-4268-B34A-DA5502D20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Rossi</dc:creator>
  <dc:description/>
  <cp:lastModifiedBy>Marco Giudici - Miramis</cp:lastModifiedBy>
  <cp:revision>4</cp:revision>
  <dcterms:created xsi:type="dcterms:W3CDTF">2026-02-11T10:50:00Z</dcterms:created>
  <dcterms:modified xsi:type="dcterms:W3CDTF">2026-02-11T10:53:00Z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0x01010076BFA608CEC9AC429A96CF8A82075341</vt:lpwstr>
  </property>
</Properties>
</file>